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Российская Федерация</w:t>
      </w: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Республика Хакасия</w:t>
      </w: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Таштыпский район</w:t>
      </w: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Совет депутатов Большесейского сельсовета</w:t>
      </w:r>
    </w:p>
    <w:p w:rsidR="00533C9A" w:rsidRDefault="00533C9A" w:rsidP="00533C9A">
      <w:pPr>
        <w:pStyle w:val="Standard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</w:t>
      </w:r>
    </w:p>
    <w:p w:rsidR="00533C9A" w:rsidRDefault="00533C9A" w:rsidP="00533C9A">
      <w:pPr>
        <w:pStyle w:val="Standard"/>
        <w:jc w:val="center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0B7669">
        <w:rPr>
          <w:sz w:val="26"/>
          <w:szCs w:val="26"/>
          <w:lang w:val="ru-RU"/>
        </w:rPr>
        <w:t xml:space="preserve">24» </w:t>
      </w:r>
      <w:bookmarkStart w:id="0" w:name="_GoBack"/>
      <w:bookmarkEnd w:id="0"/>
      <w:r w:rsidR="000B7669">
        <w:rPr>
          <w:sz w:val="26"/>
          <w:szCs w:val="26"/>
          <w:lang w:val="ru-RU"/>
        </w:rPr>
        <w:t>сентября</w:t>
      </w:r>
      <w:r w:rsidR="00306B7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2020 г.                         с. Большая</w:t>
      </w:r>
      <w:proofErr w:type="gramStart"/>
      <w:r>
        <w:rPr>
          <w:sz w:val="26"/>
          <w:szCs w:val="26"/>
          <w:lang w:val="ru-RU"/>
        </w:rPr>
        <w:t xml:space="preserve"> С</w:t>
      </w:r>
      <w:proofErr w:type="gramEnd"/>
      <w:r>
        <w:rPr>
          <w:sz w:val="26"/>
          <w:szCs w:val="26"/>
          <w:lang w:val="ru-RU"/>
        </w:rPr>
        <w:t>ея                                     №</w:t>
      </w:r>
      <w:r w:rsidR="000B7669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 </w:t>
      </w: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ind w:right="483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Положение «Об оплате труда депутата, члена 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и муниципальных служащих Большесейского сельсовета»</w:t>
      </w:r>
    </w:p>
    <w:p w:rsidR="00533C9A" w:rsidRDefault="00533C9A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33C9A" w:rsidRPr="009F1930" w:rsidRDefault="00533C9A" w:rsidP="00533C9A">
      <w:pPr>
        <w:pStyle w:val="Standard"/>
        <w:ind w:firstLine="567"/>
        <w:jc w:val="both"/>
        <w:rPr>
          <w:b/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Руководствуясь ч.2 ст.53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Законами Республики Хакасия от 06.07.2007 г. № 39-ЗРХ «О муниципальной службе в Республике</w:t>
      </w:r>
      <w:proofErr w:type="gram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Хакасия», от 12.05.2011 г. № 40-ЗРХ «О гарантиях осуществления полномочий и мерах социальной поддержки депутата, члена выборного органа местного самоуправления, выборного должностного лица местного самоуправления в Республике Хакасия»,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proofErr w:type="gram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 xml:space="preserve">служащих Республики Хакасия»,  </w:t>
      </w:r>
      <w:r w:rsidR="00E82AE0" w:rsidRPr="00315DC9">
        <w:rPr>
          <w:sz w:val="26"/>
          <w:szCs w:val="26"/>
          <w:lang w:val="ru-RU"/>
        </w:rPr>
        <w:t xml:space="preserve"> </w:t>
      </w:r>
      <w:r w:rsidR="00E82AE0">
        <w:rPr>
          <w:rFonts w:ascii="Tahoma" w:hAnsi="Tahoma" w:cs="Tahoma"/>
          <w:sz w:val="48"/>
          <w:szCs w:val="48"/>
          <w:lang w:val="ru-RU"/>
        </w:rPr>
        <w:t xml:space="preserve"> </w:t>
      </w:r>
      <w:r w:rsidR="00E82AE0" w:rsidRPr="009A2455">
        <w:rPr>
          <w:sz w:val="26"/>
          <w:szCs w:val="26"/>
          <w:lang w:val="ru-RU"/>
        </w:rPr>
        <w:t xml:space="preserve">Постановлением Правительства </w:t>
      </w:r>
      <w:r w:rsidR="00E82AE0">
        <w:rPr>
          <w:sz w:val="26"/>
          <w:szCs w:val="26"/>
          <w:lang w:val="ru-RU"/>
        </w:rPr>
        <w:t>Республики Хакасия от 30.12.2016 г. № 665</w:t>
      </w:r>
      <w:r w:rsidR="00E82AE0" w:rsidRPr="009A2455">
        <w:rPr>
          <w:sz w:val="26"/>
          <w:szCs w:val="26"/>
          <w:lang w:val="ru-RU"/>
        </w:rPr>
        <w:t xml:space="preserve"> «</w:t>
      </w:r>
      <w:r w:rsidR="00E82AE0" w:rsidRPr="00F61C0B">
        <w:rPr>
          <w:sz w:val="26"/>
          <w:szCs w:val="26"/>
          <w:lang w:val="ru-RU"/>
        </w:rPr>
        <w:t>О внесении изменений в Методику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Хакасия, утвержденную постановлением Правительства Республики Хакасия от 27.04.2010 № 210</w:t>
      </w:r>
      <w:r w:rsidR="00E82AE0" w:rsidRPr="009A2455">
        <w:rPr>
          <w:sz w:val="26"/>
          <w:szCs w:val="26"/>
          <w:lang w:val="ru-RU"/>
        </w:rPr>
        <w:t>»,</w:t>
      </w:r>
      <w:r w:rsidR="00E82AE0">
        <w:rPr>
          <w:sz w:val="26"/>
          <w:szCs w:val="26"/>
          <w:lang w:val="ru-RU"/>
        </w:rPr>
        <w:t xml:space="preserve"> п.21 ст. 29   Устава Большесейского сельсовета </w:t>
      </w:r>
      <w:r>
        <w:rPr>
          <w:sz w:val="26"/>
          <w:szCs w:val="26"/>
          <w:lang w:val="ru-RU"/>
        </w:rPr>
        <w:t xml:space="preserve">Совет депутатов Большесейского сельсовета </w:t>
      </w:r>
      <w:r w:rsidRPr="009F1930">
        <w:rPr>
          <w:b/>
          <w:sz w:val="26"/>
          <w:szCs w:val="26"/>
          <w:lang w:val="ru-RU"/>
        </w:rPr>
        <w:t>РЕШИЛ:</w:t>
      </w:r>
      <w:proofErr w:type="gramEnd"/>
    </w:p>
    <w:p w:rsidR="009F1930" w:rsidRDefault="009F1930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Утвердить Положение «Об оплате труда депутата, члена 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и муниципальных служащих Большесейского сельсовета» (приложение 1,2,3).</w:t>
      </w:r>
    </w:p>
    <w:p w:rsidR="00533C9A" w:rsidRPr="003C7D57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данного решения возложить на комиссию по бюджету, финансам и экономической политике.</w:t>
      </w:r>
    </w:p>
    <w:p w:rsidR="00533C9A" w:rsidRPr="001043B6" w:rsidRDefault="00533C9A" w:rsidP="00533C9A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3</w:t>
      </w:r>
      <w:r w:rsidRPr="001043B6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 01 </w:t>
      </w:r>
      <w:r w:rsidR="009F1930">
        <w:rPr>
          <w:rFonts w:ascii="Times New Roman" w:hAnsi="Times New Roman" w:cs="Times New Roman"/>
          <w:sz w:val="26"/>
          <w:szCs w:val="26"/>
        </w:rPr>
        <w:t>октября 2020</w:t>
      </w:r>
      <w:r w:rsidRPr="001043B6">
        <w:rPr>
          <w:rFonts w:ascii="Times New Roman" w:hAnsi="Times New Roman" w:cs="Times New Roman"/>
          <w:sz w:val="26"/>
          <w:szCs w:val="26"/>
        </w:rPr>
        <w:t xml:space="preserve"> года, и подлежит </w:t>
      </w:r>
      <w:r w:rsidR="00306B70">
        <w:rPr>
          <w:rFonts w:ascii="Times New Roman" w:hAnsi="Times New Roman" w:cs="Times New Roman"/>
          <w:sz w:val="26"/>
          <w:szCs w:val="26"/>
        </w:rPr>
        <w:t>опубликованию (обнародованию)</w:t>
      </w:r>
      <w:r w:rsidRPr="001043B6">
        <w:rPr>
          <w:rFonts w:ascii="Times New Roman" w:hAnsi="Times New Roman" w:cs="Times New Roman"/>
          <w:sz w:val="26"/>
          <w:szCs w:val="26"/>
        </w:rPr>
        <w:t>.</w:t>
      </w: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Большесейского сельсовета                                    </w:t>
      </w:r>
      <w:r w:rsidR="009F1930">
        <w:rPr>
          <w:sz w:val="26"/>
          <w:szCs w:val="26"/>
          <w:lang w:val="ru-RU"/>
        </w:rPr>
        <w:t xml:space="preserve">                        Т.В.Сазанакова</w:t>
      </w:r>
    </w:p>
    <w:p w:rsidR="00533C9A" w:rsidRDefault="00533C9A" w:rsidP="00533C9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F1930" w:rsidRDefault="009F1930" w:rsidP="00533C9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0"/>
        <w:jc w:val="center"/>
      </w:pPr>
    </w:p>
    <w:p w:rsidR="00533C9A" w:rsidRDefault="00533C9A" w:rsidP="00533C9A">
      <w:pPr>
        <w:pStyle w:val="ConsPlusNormal"/>
        <w:ind w:left="609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33C9A" w:rsidRDefault="00533C9A" w:rsidP="00533C9A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533C9A" w:rsidRDefault="00533C9A" w:rsidP="00533C9A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Большесейского сельсовета</w:t>
      </w:r>
    </w:p>
    <w:p w:rsidR="00533C9A" w:rsidRDefault="00533C9A" w:rsidP="00533C9A">
      <w:pPr>
        <w:pStyle w:val="ConsPlusNormal"/>
        <w:ind w:left="609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7904E5">
        <w:rPr>
          <w:rFonts w:ascii="Times New Roman" w:hAnsi="Times New Roman" w:cs="Times New Roman"/>
          <w:sz w:val="26"/>
          <w:szCs w:val="26"/>
        </w:rPr>
        <w:t xml:space="preserve">    »                  </w:t>
      </w:r>
      <w:r w:rsidR="009F1930">
        <w:rPr>
          <w:rFonts w:ascii="Times New Roman" w:hAnsi="Times New Roman" w:cs="Times New Roman"/>
          <w:sz w:val="26"/>
          <w:szCs w:val="26"/>
        </w:rPr>
        <w:t>2020 г. №</w:t>
      </w:r>
    </w:p>
    <w:p w:rsidR="00533C9A" w:rsidRDefault="00533C9A" w:rsidP="00533C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533C9A" w:rsidRDefault="00533C9A" w:rsidP="00533C9A">
      <w:pPr>
        <w:pStyle w:val="Standard"/>
        <w:ind w:right="-15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ОБ ОПЛАТЕ ТРУДА ДЕПУТАТА, ЧЛЕНА  ВЫБОРНОГО ОРГАНА МЕСТНОГО САМОУПРАВЛЕНИЯ, ВЫБОРНОГО ДОЛЖНОСТНОГО ЛИЦА  МЕСТНОГО САМОУПРАВЛЕНИЯ, ОСУЩЕСТВЛЯЮЩИХ СВОИ ПОЛНОМОЧИЯ НА ПОСТОЯННОЙ ОСНОВЕ, И МУНИЦИПАЛЬНЫХ СЛУЖАЩИХ ТАШТЫПСКОГО РАЙОНА</w:t>
      </w:r>
    </w:p>
    <w:p w:rsidR="00533C9A" w:rsidRDefault="00533C9A" w:rsidP="00533C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33C9A" w:rsidRPr="00445256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ст. ст. 135, 144, 191 Трудового Кодекса Российской Федерации, ч. 2 ст. 53 Федерального закона от 16.10.2003 N 131-ФЗ «Об общих принципах организации местного самоуправления в Российской Федерации», ст. ст. 8, 9, 10, 12, 23 Закона Республики Хакасия от 06.07.2007 г. № 39 «О муниципальной службе в Республике Хакасия», Закона Республики Хакасия от 12.05.2011 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№ </w:t>
      </w:r>
      <w:proofErr w:type="gramStart"/>
      <w:r>
        <w:rPr>
          <w:rFonts w:ascii="Times New Roman" w:hAnsi="Times New Roman" w:cs="Times New Roman"/>
          <w:sz w:val="26"/>
          <w:szCs w:val="26"/>
        </w:rPr>
        <w:t>40-ЗРХ «О гарантиях осуществления полномочий и мерах социальной поддержки депутата, члена выборного органа местного самоуправления, выборного должностного лица местного самоуправления в Республике Хакасия», Постановлением Правительства Республики Хакасия от 27.04.2010 г. № 210 «Об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Хакасия»</w:t>
      </w:r>
      <w:r w:rsidR="00445256">
        <w:rPr>
          <w:sz w:val="26"/>
          <w:szCs w:val="26"/>
        </w:rPr>
        <w:t xml:space="preserve">, </w:t>
      </w:r>
      <w:r w:rsidR="00445256" w:rsidRPr="00445256"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 w:rsidR="00445256" w:rsidRPr="00445256">
        <w:rPr>
          <w:rFonts w:ascii="Times New Roman" w:hAnsi="Times New Roman" w:cs="Times New Roman"/>
          <w:sz w:val="26"/>
          <w:szCs w:val="26"/>
        </w:rPr>
        <w:t xml:space="preserve"> Правительства Республики Хакасия от 30.12.2016 г. № 665 «О внесении изменений в Методику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Хакасия, утвержденную постановлением Правительства Республики Хакасия от 27.04.2010 № 210»</w:t>
      </w:r>
    </w:p>
    <w:p w:rsidR="00533C9A" w:rsidRDefault="00533C9A" w:rsidP="00533C9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33C9A" w:rsidRDefault="00533C9A" w:rsidP="00533C9A">
      <w:pPr>
        <w:pStyle w:val="ConsPlusNormal"/>
        <w:ind w:firstLine="525"/>
        <w:jc w:val="center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numPr>
          <w:ilvl w:val="1"/>
          <w:numId w:val="1"/>
        </w:numPr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определяет размер и условия оплаты труда депутата, члена  выборного органа местного самоуправления, выборного  должностного лица местного самоуправления, осуществляющих свои полномочия на постоянной основе, и муниципальных служащих Большесейского сельсовета.</w:t>
      </w:r>
    </w:p>
    <w:p w:rsidR="00533C9A" w:rsidRDefault="00533C9A" w:rsidP="00533C9A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color w:val="auto"/>
          <w:sz w:val="26"/>
          <w:szCs w:val="26"/>
          <w:lang w:val="ru-RU" w:eastAsia="ar-SA" w:bidi="ar-SA"/>
        </w:rPr>
      </w:pPr>
    </w:p>
    <w:p w:rsidR="00533C9A" w:rsidRDefault="00533C9A" w:rsidP="00533C9A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b/>
          <w:color w:val="auto"/>
          <w:sz w:val="26"/>
          <w:szCs w:val="26"/>
          <w:lang w:val="ru-RU" w:eastAsia="ar-SA" w:bidi="ar-SA"/>
        </w:rPr>
        <w:t>2. Депутаты,</w:t>
      </w:r>
      <w:r>
        <w:rPr>
          <w:b/>
          <w:sz w:val="26"/>
          <w:szCs w:val="26"/>
          <w:lang w:val="ru-RU"/>
        </w:rPr>
        <w:t xml:space="preserve"> члены выборных органов местного самоуправления</w:t>
      </w:r>
      <w:r>
        <w:rPr>
          <w:rFonts w:eastAsia="Times New Roman"/>
          <w:b/>
          <w:color w:val="auto"/>
          <w:sz w:val="26"/>
          <w:szCs w:val="26"/>
          <w:lang w:val="ru-RU" w:eastAsia="ar-SA" w:bidi="ar-SA"/>
        </w:rPr>
        <w:t xml:space="preserve"> и выборные должностные лица местного самоуправления, осуществляющие свои полномочия на постоянной основе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 xml:space="preserve">2.1. </w:t>
      </w:r>
      <w:proofErr w:type="gramStart"/>
      <w:r>
        <w:rPr>
          <w:rFonts w:eastAsia="Times New Roman"/>
          <w:color w:val="auto"/>
          <w:sz w:val="26"/>
          <w:szCs w:val="26"/>
          <w:lang w:val="ru-RU" w:eastAsia="ar-SA" w:bidi="ar-SA"/>
        </w:rPr>
        <w:t>Размер оплаты труда</w:t>
      </w:r>
      <w:proofErr w:type="gramEnd"/>
      <w:r>
        <w:rPr>
          <w:rFonts w:eastAsia="Times New Roman"/>
          <w:color w:val="auto"/>
          <w:sz w:val="26"/>
          <w:szCs w:val="26"/>
          <w:lang w:val="ru-RU" w:eastAsia="ar-SA" w:bidi="ar-SA"/>
        </w:rPr>
        <w:t xml:space="preserve"> депутата, члена  выборного органа местного самоуправления, выборного должностного лица местного самоуправления, осуществляющих свои полномочия на постоянной основе, состоит из размеров составных частей денежного содержания.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lastRenderedPageBreak/>
        <w:t>2.1.1. В состав денежного содержания включаются: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а) должностной оклад;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б) ежемесячная надбавка за особые условия труда;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в) ежемесячная надбавка за выслугу лет;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г) ежемесячная процентная надбавка к должностному окладу за работу со сведениями, составляющими государственную тайну;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д) премии по результатам работы;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е) материальная помощь;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ж) иные доплаты, предусмотренные федеральными законами, законами Республики Хакасия и принятым в соответствии с ними Уставам.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2.1.2. На денежное содержание (кроме материальной помощи) начисляются районный коэффициент, процентная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2.2. Размеры должностных окладов депутата, члена  выборного органа местного самоуправления и выборного должностного лица местного самоуправления, осуществляющих свои полномочия на постоянной основе, установлены в приложении 2.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2.2.1. Размер ежемесячной надбавки за особые условия труда составляет 50 процентов от должностного оклада в месяц;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2.2.2. Размер ежемесячной надбавки за выслугу лет к должностному окладу депутата, члена  выборного органа местного самоуправления и выборного должностного лица местного самоуправления, осуществляющих свои полномочия на постоянной основе, составляет при стаже муниципальной службы: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а) от 1 до 5 лет - 10 процентов;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б) от 5 до 10 лет - 20 процентов;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в) от 10 до 15 лет - 30 процентов;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г) свыше 15 лет - 40 процентов.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Стаж службы депутата, члена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исчисляется аналогично исчислению стажа муниципальной службы муниципальных служащих.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Надбавка за выслугу лет выплачивается в полном объеме с момента возникновения права на получение этой надбавки.</w:t>
      </w:r>
    </w:p>
    <w:p w:rsidR="00533C9A" w:rsidRDefault="00533C9A" w:rsidP="00533C9A">
      <w:pPr>
        <w:widowControl/>
        <w:numPr>
          <w:ilvl w:val="2"/>
          <w:numId w:val="2"/>
        </w:numPr>
        <w:suppressAutoHyphens w:val="0"/>
        <w:autoSpaceDE w:val="0"/>
        <w:ind w:left="0"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proofErr w:type="gramStart"/>
      <w:r>
        <w:rPr>
          <w:rFonts w:eastAsia="Times New Roman"/>
          <w:color w:val="auto"/>
          <w:sz w:val="26"/>
          <w:szCs w:val="26"/>
          <w:lang w:val="ru-RU" w:eastAsia="ar-SA" w:bidi="ar-SA"/>
        </w:rPr>
        <w:t>Размер ежемесячной процентной надбавки за работу со сведениями, составляющими государственную тайну, к должностному окладу депутата, члена  выборного органа местного самоуправления и выборного должностного лица местного самоуправления, осуществляющих свои полномочия на постоянной основе, устанавливается в пределах фонда оплаты труда в размерах и порядке, установленных федеральными законами и иными нормативными правовыми актами.</w:t>
      </w:r>
      <w:proofErr w:type="gramEnd"/>
    </w:p>
    <w:p w:rsidR="00533C9A" w:rsidRDefault="00533C9A" w:rsidP="00533C9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2.3. </w:t>
      </w:r>
      <w:r>
        <w:rPr>
          <w:rFonts w:ascii="Times New Roman" w:hAnsi="Times New Roman" w:cs="Times New Roman"/>
          <w:sz w:val="26"/>
          <w:szCs w:val="26"/>
        </w:rPr>
        <w:t>Премии по результатам работы.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Премирование по результатам работы депутата, члена  выборного органа местного самоуправления, выборного должностного лица местного самоуправления, осуществляющих свои полномочия на постоянной основе осуществляется в целях материального стимулирования, входит в систему оплаты </w:t>
      </w:r>
      <w:r>
        <w:rPr>
          <w:rFonts w:ascii="Times New Roman" w:hAnsi="Times New Roman" w:cs="Times New Roman"/>
          <w:sz w:val="26"/>
          <w:szCs w:val="26"/>
        </w:rPr>
        <w:lastRenderedPageBreak/>
        <w:t>труда и выплачивается при добросовестном выполнении возложенных на них служебных обязанностей.</w:t>
      </w:r>
    </w:p>
    <w:p w:rsidR="00533C9A" w:rsidRDefault="00533C9A" w:rsidP="00533C9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 Условиями премирования являются:</w:t>
      </w:r>
    </w:p>
    <w:p w:rsidR="00533C9A" w:rsidRDefault="00533C9A" w:rsidP="00533C9A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должностных обязанностей;</w:t>
      </w:r>
    </w:p>
    <w:p w:rsidR="00533C9A" w:rsidRDefault="00533C9A" w:rsidP="00533C9A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трудовой дисциплины;</w:t>
      </w:r>
    </w:p>
    <w:p w:rsidR="00533C9A" w:rsidRDefault="00533C9A" w:rsidP="00533C9A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  Размер премии по результатам работы устанавливается в процентах от должностного оклада и составляет: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- 33,3% за месяц;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- 33,4% за последний месяц квартала.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2.3.4. Премии по результатам работы в совокупности за год не должны превышать четырех должностных окладов.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2.3.5.. Премирование депутата, члена  выборного органа местного самоуправления, выборного должностного лица местного самоуправления,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свои полномочия на постоянной основе производится на основании распоряжения руководителя органа местного самоуправления.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2.3.6. За низкую результативность по достижению целей и задач, ненадлежащее исполнение своих служебных обязанностей размер премии подлежит снижению либо с учетом тяжести допущенных нарушений полностью лишаются премии. Решение о снижении размера либо лишении премии принимается Советом депутатов Большесейского сельсовета. 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Материальная помощь.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2.4.1. Материальная помощь депутату, члену  выборного органа местного самоуправления, выборному должностному лицу местного самоуправления, осуществляющих свои полномочия на постоянной основе выплачивается один раз в год перед отпуском или стационарным лечением в размере двух должностных окладов по их заявлению. При разделении очередного отпуска в установленном порядке на части материальная помощь по желанию может быть выплачена по одному должностному окладу в любой из периодов ухода в отпуск.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2.4.2. Выплата материальной помощи не зависит от итогов оценки результатов труда.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2.4.3. 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2.4.4. Выплата материальной помощи производится на основании распоряжения руководителя органа местного самоуправления.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color w:val="auto"/>
          <w:sz w:val="26"/>
          <w:szCs w:val="26"/>
          <w:lang w:val="ru-RU" w:eastAsia="ar-SA" w:bidi="ar-SA"/>
        </w:rPr>
        <w:t>2.4.5. Размеры материальной помощи депутату</w:t>
      </w:r>
      <w:r>
        <w:rPr>
          <w:sz w:val="26"/>
          <w:szCs w:val="26"/>
          <w:lang w:val="ru-RU"/>
        </w:rPr>
        <w:t>, члену выборного органа местного самоуправления</w:t>
      </w:r>
      <w:r>
        <w:rPr>
          <w:rFonts w:eastAsia="Times New Roman"/>
          <w:color w:val="auto"/>
          <w:sz w:val="26"/>
          <w:szCs w:val="26"/>
          <w:lang w:val="ru-RU" w:eastAsia="ar-SA" w:bidi="ar-SA"/>
        </w:rPr>
        <w:t xml:space="preserve"> и выборному должностному лицу  местного самоуправления, осуществляющим свои полномочия на постоянной основе, ограничиваются пределами установленного фонда оплаты труда.</w:t>
      </w:r>
    </w:p>
    <w:p w:rsidR="00533C9A" w:rsidRDefault="00533C9A" w:rsidP="00533C9A">
      <w:pPr>
        <w:widowControl/>
        <w:suppressAutoHyphens w:val="0"/>
        <w:autoSpaceDE w:val="0"/>
        <w:jc w:val="center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</w:p>
    <w:p w:rsidR="00533C9A" w:rsidRDefault="00533C9A" w:rsidP="00533C9A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color w:val="auto"/>
          <w:sz w:val="26"/>
          <w:szCs w:val="26"/>
          <w:lang w:val="ru-RU" w:eastAsia="ar-SA" w:bidi="ar-SA"/>
        </w:rPr>
      </w:pPr>
      <w:r>
        <w:rPr>
          <w:rFonts w:eastAsia="Times New Roman"/>
          <w:b/>
          <w:color w:val="auto"/>
          <w:sz w:val="26"/>
          <w:szCs w:val="26"/>
          <w:lang w:val="ru-RU" w:eastAsia="ar-SA" w:bidi="ar-SA"/>
        </w:rPr>
        <w:t>3. Муниципальные служащие</w:t>
      </w:r>
    </w:p>
    <w:p w:rsidR="00533C9A" w:rsidRDefault="00533C9A" w:rsidP="00533C9A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Денежное содержание  муниципальных служащих состоит из должностного оклада, надбавок к должностному окладу, премии по результатам работы, материальной помощи.</w:t>
      </w:r>
    </w:p>
    <w:p w:rsidR="00533C9A" w:rsidRDefault="00533C9A" w:rsidP="00533C9A">
      <w:pPr>
        <w:widowControl/>
        <w:suppressAutoHyphens w:val="0"/>
        <w:autoSpaceDE w:val="0"/>
        <w:ind w:firstLine="540"/>
        <w:jc w:val="both"/>
        <w:textAlignment w:val="auto"/>
        <w:rPr>
          <w:rFonts w:eastAsia="Times New Roman"/>
          <w:color w:val="auto"/>
          <w:sz w:val="26"/>
          <w:szCs w:val="26"/>
          <w:lang w:val="ru-RU" w:eastAsia="ar-SA" w:bidi="ar-SA"/>
        </w:rPr>
      </w:pPr>
      <w:r>
        <w:rPr>
          <w:sz w:val="26"/>
          <w:szCs w:val="26"/>
          <w:lang w:val="ru-RU"/>
        </w:rPr>
        <w:t xml:space="preserve">3.1.1. На денежное содержание (кроме материальной помощи) начисляются районный коэффициент, процентная надбавка к заработной плате за стаж </w:t>
      </w:r>
      <w:r>
        <w:rPr>
          <w:rFonts w:eastAsia="Times New Roman"/>
          <w:color w:val="auto"/>
          <w:sz w:val="26"/>
          <w:szCs w:val="26"/>
          <w:lang w:val="ru-RU" w:eastAsia="ar-SA" w:bidi="ar-SA"/>
        </w:rPr>
        <w:t xml:space="preserve">в районах Крайнего Севера, приравненных к ним местностях, в южных районах Дальнего </w:t>
      </w:r>
      <w:r>
        <w:rPr>
          <w:rFonts w:eastAsia="Times New Roman"/>
          <w:color w:val="auto"/>
          <w:sz w:val="26"/>
          <w:szCs w:val="26"/>
          <w:lang w:val="ru-RU" w:eastAsia="ar-SA" w:bidi="ar-SA"/>
        </w:rPr>
        <w:lastRenderedPageBreak/>
        <w:t>Востока, Красноярского края, Иркутской и Читинской областей, Республики Бурятия, в Республике Тыва, Республике Хакасия.</w:t>
      </w:r>
    </w:p>
    <w:p w:rsidR="00533C9A" w:rsidRDefault="00533C9A" w:rsidP="00533C9A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Ежемесячная надбавка за особый режим работы.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особому режиму работы относятся: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ненормированный рабочий день;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сложные климатические условия;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частые командировки и поездки;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в выходные и праздничные дни;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работа, связанная с риском для здоровья, и т. п.</w:t>
      </w:r>
    </w:p>
    <w:p w:rsidR="00533C9A" w:rsidRDefault="00533C9A" w:rsidP="00533C9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формировании фонда оплаты труда муниципальных служащих предельный размер надбавки за особый режим работы в расчете на год не должен превышать двух должностных окладов.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Ежемесячная надбавка муниципальному служащему за особый режим работы устанавливается распоряжением (приказом) руководителя органа местного самоуправления при поступлении на работу. В дальнейшем размер надбавки может быть изменен распоряжением (приказом) руководителя органа местного самоуправления в случае изменения особого режима работы.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 Ежемесячная надбавка за выслугу лет.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выслугу лет устанавливается в следующих размерах от должностного оклада:</w:t>
      </w:r>
    </w:p>
    <w:p w:rsidR="00533C9A" w:rsidRDefault="00533C9A" w:rsidP="00533C9A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стаже замещения муниципальной должности    Размер надбавки</w:t>
      </w:r>
    </w:p>
    <w:p w:rsidR="00533C9A" w:rsidRDefault="00533C9A" w:rsidP="00533C9A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 до 5 лет                                                                                  10%</w:t>
      </w:r>
    </w:p>
    <w:p w:rsidR="00533C9A" w:rsidRDefault="00533C9A" w:rsidP="00533C9A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5 до 10 лет                                                                                20%</w:t>
      </w:r>
    </w:p>
    <w:p w:rsidR="00533C9A" w:rsidRDefault="00533C9A" w:rsidP="00533C9A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 до 15 лет                                                                              30%</w:t>
      </w:r>
    </w:p>
    <w:p w:rsidR="00533C9A" w:rsidRDefault="00533C9A" w:rsidP="00533C9A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 лет и выше                                                                          40%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стаж работы для исчисления надбавки за выслугу лет включается время работы на выборных муниципальных должностях, муниципальных должностях муниципальной службы и государственных должностях.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периоды работы, опыт и знания по которой необходимы для выполнения должностных обязанностей по выборной муниципальной должности, должности муниципальной службы, могут включаться в стаж для начисления надбавки за выслугу лет распоряжением Главы Большесейского сельсовета, принимаемого на основании решения комиссии по установлению трудового стажа.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Включение в стаж работы иных периодов трудовой деятельности осуществляется комиссией по решению вопросов включения иных периодов работы (службы) в стаж муниципальной службы муниципальных служащих Большесейского сельсовета, Положение о которой утверждается Главой Большесейского сельсовета.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Надбавка за выслугу лет выплачивается в полном объеме с момента возникновения права на получение этой надбавки.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3.2.4. Премии по результатам работы.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Премирование по результатам работы осуществляется в целях материального стимулирования, входит в систему оплаты труда и выплачивается при добросовестном выполнении возложенных на них служебных обязанностей.</w:t>
      </w:r>
    </w:p>
    <w:p w:rsidR="00533C9A" w:rsidRDefault="00533C9A" w:rsidP="00533C9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Условиями премирования являются:</w:t>
      </w:r>
    </w:p>
    <w:p w:rsidR="00533C9A" w:rsidRDefault="00533C9A" w:rsidP="00533C9A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своевременное и качественное выполнение должностных обязанностей;</w:t>
      </w:r>
    </w:p>
    <w:p w:rsidR="00533C9A" w:rsidRDefault="00533C9A" w:rsidP="00533C9A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трудовой дисциплины;</w:t>
      </w:r>
    </w:p>
    <w:p w:rsidR="00533C9A" w:rsidRDefault="00533C9A" w:rsidP="00533C9A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премии по результатам работы устанавливается в процентах от должностного оклада и составляет: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- 33,3% за месяц;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- 33,4% за последний месяц квартала.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Премии по результатам работы в совокупности за год не должны превышать четырех должностных окладов.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Основания, порядок и условия премирования муниципальных служащих определяются Положением о премировании, утверждаемым Главой Большесейского сельсовета.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 Материальная помощь.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Материальная помощь муниципальным служащим Большесейского сельсовета выплачивается один раз в год перед отпуском или стационарным лечением в размере двух должностных окладов по их заявлению. При разделении очередного отпуска в установленном порядке на части материальная помощь по желанию может быть выплачена по одному должностному окладу в любой из периодов ухода в отпуск.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Выплата материальной помощи не зависит от итогов оценки результатов труда.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Выплата материальной помощи производится на основании распоряжения руководителя органа местного самоуправления.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Отпуск депутата, члена  выборного органа местного самоуправления, выборных должностных лиц местного самоуправления,</w:t>
      </w:r>
    </w:p>
    <w:p w:rsidR="00533C9A" w:rsidRDefault="00533C9A" w:rsidP="00533C9A">
      <w:pPr>
        <w:pStyle w:val="ConsPlusNormal"/>
        <w:ind w:firstLine="5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осуществляющих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свои полномочия на постоянной основе,</w:t>
      </w: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муниципальных служащих </w:t>
      </w:r>
      <w:r w:rsidRPr="00B82C87">
        <w:rPr>
          <w:rFonts w:ascii="Times New Roman" w:hAnsi="Times New Roman" w:cs="Times New Roman"/>
          <w:b/>
          <w:sz w:val="26"/>
          <w:szCs w:val="26"/>
        </w:rPr>
        <w:t>Большесейского сельсовета</w:t>
      </w: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Депутатам, членам  выборного органа местного самоуправления, выборным должностным лицам  местного самоуправления, осуществляющих свои полномочия на постоянной основе, и муниципальным служащим устанавливается ежегодный оплачиваемый отпуск продолжительностью не менее 30 календарных дней.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Сверх ежегодного основного оплачиваемого отпуска депутату, члену выборного органа местного самоуправления, выборному должностному лицу местного самоуправления,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свои полномочия на постоянной основе, предоставляется дополнительный оплачиваемый отпуск продолжительностью 15 календарных дней.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Ежегодный основной оплачиваемый отпуск и дополнительный оплачиваемый отпуск суммируется и по желанию депутата, члена выборного органа местного самоуправления, выборного должностного лица местного самоуправления,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свои полномочия на постоянной основе, могут предоставляться по частям. При этом продолжительность одной части предоставляемого отпуска должна быть не менее 14 календарных дней.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Сверх ежегодного оплачиваемого отпуска в зависимости от группы занимаемой муниципальной должности и стажа муниципальной службы предоставляется дополнительный оплачиваемый отпуск: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28" w:type="dxa"/>
        <w:tblLayout w:type="fixed"/>
        <w:tblLook w:val="0000" w:firstRow="0" w:lastRow="0" w:firstColumn="0" w:lastColumn="0" w:noHBand="0" w:noVBand="0"/>
      </w:tblPr>
      <w:tblGrid>
        <w:gridCol w:w="3242"/>
        <w:gridCol w:w="3142"/>
        <w:gridCol w:w="3321"/>
      </w:tblGrid>
      <w:tr w:rsidR="00533C9A" w:rsidTr="00FD1A4B">
        <w:tc>
          <w:tcPr>
            <w:tcW w:w="3242" w:type="dxa"/>
          </w:tcPr>
          <w:p w:rsidR="00533C9A" w:rsidRDefault="00533C9A" w:rsidP="00FD1A4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муниципальной должности</w:t>
            </w:r>
          </w:p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дополнительного отпуска</w:t>
            </w:r>
          </w:p>
        </w:tc>
      </w:tr>
      <w:tr w:rsidR="00533C9A" w:rsidTr="00FD1A4B">
        <w:tc>
          <w:tcPr>
            <w:tcW w:w="3242" w:type="dxa"/>
          </w:tcPr>
          <w:p w:rsidR="00533C9A" w:rsidRDefault="00533C9A" w:rsidP="00FD1A4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9A" w:rsidTr="00FD1A4B">
        <w:tc>
          <w:tcPr>
            <w:tcW w:w="3242" w:type="dxa"/>
          </w:tcPr>
          <w:p w:rsidR="00533C9A" w:rsidRDefault="00533C9A" w:rsidP="00FD1A4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муниципальная должность</w:t>
            </w:r>
          </w:p>
          <w:p w:rsidR="00533C9A" w:rsidRDefault="00533C9A" w:rsidP="00FD1A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 лет</w:t>
            </w:r>
          </w:p>
          <w:p w:rsidR="00533C9A" w:rsidRDefault="00533C9A" w:rsidP="00FD1A4B">
            <w:pPr>
              <w:pStyle w:val="ConsPlusNormal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</w:tr>
      <w:tr w:rsidR="00533C9A" w:rsidTr="00FD1A4B">
        <w:tc>
          <w:tcPr>
            <w:tcW w:w="3242" w:type="dxa"/>
            <w:vMerge w:val="restart"/>
          </w:tcPr>
          <w:p w:rsidR="00533C9A" w:rsidRDefault="00533C9A" w:rsidP="00FD1A4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муниципальная должность</w:t>
            </w:r>
          </w:p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календарных дней</w:t>
            </w:r>
          </w:p>
          <w:p w:rsidR="00533C9A" w:rsidRDefault="00533C9A" w:rsidP="00FD1A4B">
            <w:pPr>
              <w:pStyle w:val="ConsPlusNormal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9A" w:rsidTr="00FD1A4B">
        <w:tc>
          <w:tcPr>
            <w:tcW w:w="3242" w:type="dxa"/>
            <w:vMerge w:val="restart"/>
          </w:tcPr>
          <w:p w:rsidR="00533C9A" w:rsidRDefault="00533C9A" w:rsidP="00FD1A4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муниципальная должность</w:t>
            </w:r>
          </w:p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 до 15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  <w:p w:rsidR="00533C9A" w:rsidRDefault="00533C9A" w:rsidP="00FD1A4B">
            <w:pPr>
              <w:pStyle w:val="ConsPlusNormal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9A" w:rsidTr="00FD1A4B">
        <w:tc>
          <w:tcPr>
            <w:tcW w:w="3242" w:type="dxa"/>
            <w:vMerge w:val="restart"/>
          </w:tcPr>
          <w:p w:rsidR="00533C9A" w:rsidRDefault="00533C9A" w:rsidP="00FD1A4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муниципальная должность</w:t>
            </w:r>
          </w:p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от10 до 15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  <w:p w:rsidR="00533C9A" w:rsidRDefault="00533C9A" w:rsidP="00FD1A4B">
            <w:pPr>
              <w:pStyle w:val="ConsPlusNormal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9A" w:rsidTr="00FD1A4B">
        <w:tc>
          <w:tcPr>
            <w:tcW w:w="3242" w:type="dxa"/>
            <w:vMerge w:val="restart"/>
          </w:tcPr>
          <w:p w:rsidR="00533C9A" w:rsidRDefault="00533C9A" w:rsidP="00FD1A4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муниципальная должность</w:t>
            </w:r>
          </w:p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533C9A" w:rsidTr="00FD1A4B">
        <w:tc>
          <w:tcPr>
            <w:tcW w:w="3242" w:type="dxa"/>
            <w:vMerge/>
          </w:tcPr>
          <w:p w:rsidR="00533C9A" w:rsidRDefault="00533C9A" w:rsidP="00FD1A4B"/>
        </w:tc>
        <w:tc>
          <w:tcPr>
            <w:tcW w:w="3142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7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3321" w:type="dxa"/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ConsPlusNormal"/>
              <w:snapToGrid w:val="0"/>
              <w:ind w:left="2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календарных дней</w:t>
            </w:r>
          </w:p>
        </w:tc>
      </w:tr>
    </w:tbl>
    <w:p w:rsidR="00533C9A" w:rsidRDefault="00533C9A" w:rsidP="00533C9A">
      <w:pPr>
        <w:pStyle w:val="ConsPlusNormal"/>
        <w:ind w:firstLine="567"/>
        <w:jc w:val="both"/>
      </w:pPr>
    </w:p>
    <w:p w:rsidR="00533C9A" w:rsidRDefault="00533C9A" w:rsidP="00533C9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Муниципальному служащему по его письменному заявлению решением  представителя нанимателя может предоставляться отпуск без сохранения денежного содержания продолжительностью не более одного года.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533C9A" w:rsidRDefault="00533C9A" w:rsidP="00533C9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Порядок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использования экономии фонда оплаты труда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органом местного самоуправления</w:t>
      </w: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5.1. Сумма сложившейся экономии по фонду оплаты труда может быть направлена на материальное стимулирование депутата, члена 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и муниципальных служащих в следующих случаях:</w:t>
      </w:r>
    </w:p>
    <w:p w:rsidR="00533C9A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рождение ребенка;</w:t>
      </w:r>
    </w:p>
    <w:p w:rsidR="00533C9A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свадьбу;</w:t>
      </w:r>
    </w:p>
    <w:p w:rsidR="00533C9A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юбилейные даты;</w:t>
      </w:r>
    </w:p>
    <w:p w:rsidR="00533C9A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смерть близких родственников;</w:t>
      </w:r>
    </w:p>
    <w:p w:rsidR="00533C9A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проведение оперативных вмешательств медицинского характера;</w:t>
      </w:r>
    </w:p>
    <w:p w:rsidR="00533C9A" w:rsidRDefault="00533C9A" w:rsidP="00533C9A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приобретение дорогостоящих медикаментов;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чрезвычайные обстоятельства, а именно: причинение ущерба здоровью и имуществу муниципального служащего в результате пожара, кражи, наводнения.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Решение о направлениях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использования экономии фонда оплаты труда органа местного самоуправления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принимает руководитель этого органа. Расходование средств осуществляется на основании распоряжения (приказа) руководителя. Решение о материальном стимулировании руководителя органа местного самоуправления принимается Главой Большесейского сельсовета. Решение о материальном стимулировании Главы Большесейского сельсовета принимается Администрацией Большесейского сельсовета.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6.Поощрение и награждение депутата, члена  выборного органа местного самоуправления,</w:t>
      </w: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выборного должностного лица  местного самоуправления,</w:t>
      </w: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осуществляющих свои полномочия на постоянной основе, и муниципальных </w:t>
      </w:r>
      <w:r w:rsidRPr="009108E1">
        <w:rPr>
          <w:rFonts w:ascii="Times New Roman" w:hAnsi="Times New Roman" w:cs="Times New Roman"/>
          <w:b/>
          <w:bCs/>
          <w:sz w:val="26"/>
          <w:szCs w:val="26"/>
        </w:rPr>
        <w:t xml:space="preserve">служащих </w:t>
      </w:r>
      <w:r w:rsidRPr="009108E1">
        <w:rPr>
          <w:rFonts w:ascii="Times New Roman" w:hAnsi="Times New Roman" w:cs="Times New Roman"/>
          <w:b/>
          <w:sz w:val="26"/>
          <w:szCs w:val="26"/>
        </w:rPr>
        <w:t>Большесейского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33C9A" w:rsidRDefault="00533C9A" w:rsidP="00533C9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продолжительную, безупречную и эффективную службу, образцовое выполнение должностных обязанностей, выполнение заданий особой важности и сложности предусматриваются следующие виды поощрений и награждений: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объявление благодарности с выплатой единовременного поощрения;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награждение Почетной грамотой с выплатой единовременного поощрения или с вручением ценного подарка;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выплата единовременного поощрения в связи с выходом на пенсию за выслугу лет;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награждение государственными наградами Республики Хакасия;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поощрения Президента Российской Федерации и федеральных государственных органов.</w:t>
      </w:r>
    </w:p>
    <w:p w:rsidR="00533C9A" w:rsidRDefault="00533C9A" w:rsidP="00533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C9A" w:rsidRDefault="00533C9A" w:rsidP="00533C9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3C9A" w:rsidRDefault="00533C9A" w:rsidP="00533C9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3C9A" w:rsidRDefault="00533C9A" w:rsidP="00533C9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3C9A" w:rsidRDefault="00533C9A" w:rsidP="00533C9A">
      <w:pPr>
        <w:pStyle w:val="Standard"/>
        <w:jc w:val="both"/>
        <w:rPr>
          <w:rFonts w:eastAsia="Arial"/>
          <w:color w:val="auto"/>
          <w:sz w:val="28"/>
          <w:szCs w:val="28"/>
          <w:lang w:val="ru-RU" w:eastAsia="ar-SA" w:bidi="ar-SA"/>
        </w:rPr>
      </w:pPr>
    </w:p>
    <w:p w:rsidR="00533C9A" w:rsidRDefault="00533C9A" w:rsidP="00533C9A">
      <w:pPr>
        <w:pStyle w:val="Standard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445256">
      <w:pPr>
        <w:pStyle w:val="Standard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lang w:val="ru-RU"/>
        </w:rPr>
      </w:pPr>
      <w:r>
        <w:rPr>
          <w:lang w:val="ru-RU"/>
        </w:rPr>
        <w:t>Приложение 2</w:t>
      </w:r>
    </w:p>
    <w:p w:rsidR="00533C9A" w:rsidRPr="009108E1" w:rsidRDefault="00533C9A" w:rsidP="00533C9A">
      <w:pPr>
        <w:pStyle w:val="Standard"/>
        <w:ind w:left="5580"/>
        <w:jc w:val="both"/>
        <w:rPr>
          <w:lang w:val="ru-RU"/>
        </w:rPr>
      </w:pPr>
      <w:r>
        <w:rPr>
          <w:lang w:val="ru-RU"/>
        </w:rPr>
        <w:t xml:space="preserve">к решению Совета депутатов </w:t>
      </w:r>
      <w:r w:rsidRPr="009108E1">
        <w:rPr>
          <w:lang w:val="ru-RU"/>
        </w:rPr>
        <w:t>Большесейского сельсовета</w:t>
      </w:r>
    </w:p>
    <w:p w:rsidR="00533C9A" w:rsidRDefault="00445256" w:rsidP="00533C9A">
      <w:pPr>
        <w:pStyle w:val="Standard"/>
        <w:ind w:left="5580"/>
        <w:jc w:val="both"/>
        <w:rPr>
          <w:lang w:val="ru-RU"/>
        </w:rPr>
      </w:pPr>
      <w:r>
        <w:rPr>
          <w:lang w:val="ru-RU"/>
        </w:rPr>
        <w:t xml:space="preserve">от «      »             2020г № </w:t>
      </w:r>
    </w:p>
    <w:p w:rsidR="00533C9A" w:rsidRDefault="00533C9A" w:rsidP="00533C9A">
      <w:pPr>
        <w:pStyle w:val="Standard"/>
        <w:ind w:firstLine="540"/>
        <w:jc w:val="both"/>
        <w:rPr>
          <w:lang w:val="ru-RU"/>
        </w:rPr>
      </w:pPr>
    </w:p>
    <w:p w:rsidR="00533C9A" w:rsidRDefault="00533C9A" w:rsidP="00533C9A">
      <w:pPr>
        <w:pStyle w:val="Standard"/>
        <w:ind w:firstLine="540"/>
        <w:jc w:val="both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ind w:firstLine="5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Размеры должностных окладов депутата, члена  выборного органа местного самоуправления, выборного должностного лица местного самоуправления, осуществляющих свои полномочия на постоянной основе</w:t>
      </w:r>
    </w:p>
    <w:p w:rsidR="00533C9A" w:rsidRDefault="00533C9A" w:rsidP="00533C9A">
      <w:pPr>
        <w:pStyle w:val="Standard"/>
        <w:ind w:firstLine="540"/>
        <w:jc w:val="both"/>
        <w:rPr>
          <w:sz w:val="26"/>
          <w:szCs w:val="26"/>
          <w:lang w:val="ru-RU"/>
        </w:rPr>
      </w:pPr>
    </w:p>
    <w:p w:rsidR="00533C9A" w:rsidRDefault="00533C9A" w:rsidP="00533C9A">
      <w:pPr>
        <w:pStyle w:val="Standard"/>
        <w:ind w:firstLine="540"/>
        <w:jc w:val="both"/>
        <w:rPr>
          <w:sz w:val="26"/>
          <w:szCs w:val="26"/>
          <w:lang w:val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88"/>
        <w:gridCol w:w="2715"/>
        <w:gridCol w:w="2335"/>
        <w:gridCol w:w="3055"/>
      </w:tblGrid>
      <w:tr w:rsidR="00533C9A" w:rsidTr="00FD1A4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Группа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должностей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Размер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оклада</w:t>
            </w:r>
            <w:proofErr w:type="spellEnd"/>
          </w:p>
        </w:tc>
      </w:tr>
      <w:tr w:rsidR="00533C9A" w:rsidTr="00FD1A4B">
        <w:trPr>
          <w:trHeight w:val="58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9A" w:rsidRDefault="00533C9A" w:rsidP="00FD1A4B">
            <w:pPr>
              <w:pStyle w:val="Standard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Высшая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Таштыпского </w:t>
            </w:r>
            <w:proofErr w:type="spellStart"/>
            <w:r>
              <w:rPr>
                <w:sz w:val="26"/>
                <w:szCs w:val="26"/>
              </w:rPr>
              <w:t>района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01.04.2013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9A" w:rsidRPr="009108E1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8 799</w:t>
            </w:r>
          </w:p>
        </w:tc>
      </w:tr>
      <w:tr w:rsidR="00533C9A" w:rsidTr="00FD1A4B">
        <w:trPr>
          <w:trHeight w:val="56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9A" w:rsidRDefault="00533C9A" w:rsidP="00FD1A4B"/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533C9A" w:rsidRDefault="00533C9A" w:rsidP="00FD1A4B"/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01.10.2013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9A" w:rsidRPr="009108E1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9 679</w:t>
            </w:r>
          </w:p>
        </w:tc>
      </w:tr>
      <w:tr w:rsidR="00533C9A" w:rsidTr="00FD1A4B">
        <w:trPr>
          <w:trHeight w:val="54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9A" w:rsidRDefault="00533C9A" w:rsidP="00FD1A4B"/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533C9A" w:rsidRDefault="00533C9A" w:rsidP="00FD1A4B"/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01.04.2014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9A" w:rsidRPr="009108E1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10 647</w:t>
            </w:r>
          </w:p>
        </w:tc>
      </w:tr>
      <w:tr w:rsidR="00533C9A" w:rsidTr="00A47FFB">
        <w:trPr>
          <w:trHeight w:val="553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9A" w:rsidRDefault="00533C9A" w:rsidP="00FD1A4B"/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auto"/>
            </w:tcBorders>
            <w:tcMar>
              <w:left w:w="10" w:type="dxa"/>
              <w:right w:w="10" w:type="dxa"/>
            </w:tcMar>
          </w:tcPr>
          <w:p w:rsidR="00533C9A" w:rsidRDefault="00533C9A" w:rsidP="00FD1A4B"/>
        </w:tc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01.10.2014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3C9A" w:rsidRDefault="00533C9A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A47FFB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712</w:t>
            </w:r>
          </w:p>
          <w:p w:rsidR="00A47FFB" w:rsidRPr="009108E1" w:rsidRDefault="00A47FFB" w:rsidP="00A47FFB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</w:p>
        </w:tc>
      </w:tr>
      <w:tr w:rsidR="00A47FFB" w:rsidTr="00A47FFB">
        <w:trPr>
          <w:trHeight w:val="553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A47FFB" w:rsidRDefault="00A47FFB" w:rsidP="00FD1A4B"/>
        </w:tc>
        <w:tc>
          <w:tcPr>
            <w:tcW w:w="2715" w:type="dxa"/>
            <w:tcBorders>
              <w:left w:val="single" w:sz="4" w:space="0" w:color="auto"/>
            </w:tcBorders>
            <w:tcMar>
              <w:left w:w="10" w:type="dxa"/>
              <w:right w:w="10" w:type="dxa"/>
            </w:tcMar>
          </w:tcPr>
          <w:p w:rsidR="00A47FFB" w:rsidRDefault="00A47FFB" w:rsidP="00FD1A4B"/>
        </w:tc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47FFB" w:rsidRDefault="00A47FFB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01.01.2015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FFB" w:rsidRDefault="00A47FFB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9679</w:t>
            </w:r>
          </w:p>
        </w:tc>
      </w:tr>
      <w:tr w:rsidR="00A47FFB" w:rsidTr="00A47FFB">
        <w:trPr>
          <w:trHeight w:val="553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A47FFB" w:rsidRDefault="00A47FFB" w:rsidP="00FD1A4B"/>
        </w:tc>
        <w:tc>
          <w:tcPr>
            <w:tcW w:w="2715" w:type="dxa"/>
            <w:tcBorders>
              <w:left w:val="single" w:sz="4" w:space="0" w:color="auto"/>
            </w:tcBorders>
            <w:tcMar>
              <w:left w:w="10" w:type="dxa"/>
              <w:right w:w="10" w:type="dxa"/>
            </w:tcMar>
          </w:tcPr>
          <w:p w:rsidR="00A47FFB" w:rsidRDefault="00A47FFB" w:rsidP="00FD1A4B"/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47FFB" w:rsidRDefault="00A47FFB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01.07.2018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FFB" w:rsidRDefault="00A47FFB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11251</w:t>
            </w:r>
          </w:p>
        </w:tc>
      </w:tr>
      <w:tr w:rsidR="00A47FFB" w:rsidTr="00A47FFB">
        <w:trPr>
          <w:trHeight w:val="553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A47FFB" w:rsidRDefault="00A47FFB" w:rsidP="00FD1A4B"/>
        </w:tc>
        <w:tc>
          <w:tcPr>
            <w:tcW w:w="2715" w:type="dxa"/>
            <w:tcBorders>
              <w:left w:val="single" w:sz="4" w:space="0" w:color="auto"/>
            </w:tcBorders>
            <w:tcMar>
              <w:left w:w="10" w:type="dxa"/>
              <w:right w:w="10" w:type="dxa"/>
            </w:tcMar>
          </w:tcPr>
          <w:p w:rsidR="00A47FFB" w:rsidRDefault="00A47FFB" w:rsidP="00FD1A4B"/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A47FFB" w:rsidRDefault="00A47FFB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FFB" w:rsidRDefault="00A47FFB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11735</w:t>
            </w:r>
          </w:p>
        </w:tc>
      </w:tr>
      <w:tr w:rsidR="00A47FFB" w:rsidTr="00A47FFB">
        <w:trPr>
          <w:trHeight w:val="553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FB" w:rsidRDefault="00A47FFB" w:rsidP="00FD1A4B"/>
        </w:tc>
        <w:tc>
          <w:tcPr>
            <w:tcW w:w="2715" w:type="dxa"/>
            <w:tcBorders>
              <w:left w:val="single" w:sz="4" w:space="0" w:color="auto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A47FFB" w:rsidRDefault="00A47FFB" w:rsidP="00FD1A4B"/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47FFB" w:rsidRDefault="00A47FFB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01.10.2020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FB" w:rsidRDefault="00A47FFB" w:rsidP="00FD1A4B">
            <w:pPr>
              <w:pStyle w:val="Standard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12087</w:t>
            </w:r>
          </w:p>
        </w:tc>
      </w:tr>
    </w:tbl>
    <w:p w:rsidR="00533C9A" w:rsidRDefault="00533C9A" w:rsidP="00533C9A">
      <w:pPr>
        <w:pStyle w:val="Standard"/>
        <w:ind w:firstLine="540"/>
        <w:jc w:val="both"/>
      </w:pPr>
    </w:p>
    <w:p w:rsidR="00533C9A" w:rsidRDefault="00533C9A" w:rsidP="00533C9A">
      <w:pPr>
        <w:pStyle w:val="Standard"/>
        <w:ind w:left="5580"/>
        <w:jc w:val="both"/>
        <w:rPr>
          <w:sz w:val="28"/>
          <w:szCs w:val="28"/>
        </w:rPr>
      </w:pPr>
    </w:p>
    <w:p w:rsidR="00533C9A" w:rsidRDefault="00533C9A" w:rsidP="00533C9A">
      <w:pPr>
        <w:pStyle w:val="Standard"/>
        <w:ind w:left="5580"/>
        <w:jc w:val="both"/>
        <w:rPr>
          <w:sz w:val="28"/>
          <w:szCs w:val="28"/>
        </w:rPr>
      </w:pPr>
    </w:p>
    <w:p w:rsidR="00533C9A" w:rsidRDefault="00533C9A" w:rsidP="00533C9A">
      <w:pPr>
        <w:pStyle w:val="Standard"/>
        <w:ind w:left="5580"/>
        <w:jc w:val="both"/>
        <w:rPr>
          <w:sz w:val="28"/>
          <w:szCs w:val="28"/>
        </w:rPr>
      </w:pPr>
    </w:p>
    <w:p w:rsidR="00533C9A" w:rsidRDefault="00533C9A" w:rsidP="00533C9A">
      <w:pPr>
        <w:pStyle w:val="Standard"/>
        <w:ind w:left="5580"/>
        <w:jc w:val="both"/>
        <w:rPr>
          <w:sz w:val="28"/>
          <w:szCs w:val="28"/>
        </w:rPr>
      </w:pPr>
    </w:p>
    <w:p w:rsidR="00533C9A" w:rsidRPr="00A70B4C" w:rsidRDefault="00533C9A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533C9A" w:rsidRPr="00A70B4C" w:rsidRDefault="00533C9A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533C9A" w:rsidRPr="00A70B4C" w:rsidRDefault="00533C9A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533C9A" w:rsidRPr="00A70B4C" w:rsidRDefault="00533C9A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533C9A" w:rsidRPr="00A70B4C" w:rsidRDefault="00533C9A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533C9A" w:rsidRPr="00A70B4C" w:rsidRDefault="00533C9A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533C9A" w:rsidRDefault="00533C9A" w:rsidP="0067686D">
      <w:pPr>
        <w:pStyle w:val="Standard"/>
        <w:jc w:val="both"/>
        <w:rPr>
          <w:sz w:val="28"/>
          <w:szCs w:val="28"/>
          <w:lang w:val="ru-RU"/>
        </w:rPr>
      </w:pPr>
    </w:p>
    <w:p w:rsidR="0067686D" w:rsidRDefault="0067686D" w:rsidP="0067686D">
      <w:pPr>
        <w:pStyle w:val="Standard"/>
        <w:jc w:val="both"/>
        <w:rPr>
          <w:sz w:val="28"/>
          <w:szCs w:val="28"/>
          <w:lang w:val="ru-RU"/>
        </w:rPr>
      </w:pPr>
    </w:p>
    <w:p w:rsidR="00533C9A" w:rsidRDefault="00533C9A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445256" w:rsidRDefault="00445256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445256" w:rsidRDefault="00445256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533C9A" w:rsidRPr="009108E1" w:rsidRDefault="00533C9A" w:rsidP="00533C9A">
      <w:pPr>
        <w:pStyle w:val="Standard"/>
        <w:ind w:left="5580"/>
        <w:jc w:val="both"/>
        <w:rPr>
          <w:sz w:val="28"/>
          <w:szCs w:val="28"/>
          <w:lang w:val="ru-RU"/>
        </w:rPr>
      </w:pPr>
    </w:p>
    <w:p w:rsidR="00533C9A" w:rsidRPr="009108E1" w:rsidRDefault="00533C9A" w:rsidP="00533C9A">
      <w:pPr>
        <w:ind w:left="5580"/>
        <w:jc w:val="both"/>
        <w:rPr>
          <w:lang w:val="ru-RU"/>
        </w:rPr>
      </w:pPr>
      <w:r w:rsidRPr="009108E1">
        <w:rPr>
          <w:lang w:val="ru-RU"/>
        </w:rPr>
        <w:lastRenderedPageBreak/>
        <w:t>Приложение 3</w:t>
      </w:r>
    </w:p>
    <w:p w:rsidR="00533C9A" w:rsidRPr="009108E1" w:rsidRDefault="00533C9A" w:rsidP="00533C9A">
      <w:pPr>
        <w:ind w:left="5580"/>
        <w:jc w:val="both"/>
        <w:rPr>
          <w:lang w:val="ru-RU"/>
        </w:rPr>
      </w:pPr>
      <w:r w:rsidRPr="009108E1">
        <w:rPr>
          <w:lang w:val="ru-RU"/>
        </w:rPr>
        <w:t>к решению Совета депутатов</w:t>
      </w:r>
    </w:p>
    <w:p w:rsidR="00533C9A" w:rsidRDefault="00533C9A" w:rsidP="00533C9A">
      <w:pPr>
        <w:ind w:left="5580"/>
        <w:jc w:val="both"/>
        <w:rPr>
          <w:lang w:val="ru-RU"/>
        </w:rPr>
      </w:pPr>
      <w:r w:rsidRPr="009108E1">
        <w:rPr>
          <w:lang w:val="ru-RU"/>
        </w:rPr>
        <w:t>Большесейского сельсовета</w:t>
      </w:r>
      <w:r>
        <w:rPr>
          <w:sz w:val="26"/>
          <w:szCs w:val="26"/>
          <w:lang w:val="ru-RU"/>
        </w:rPr>
        <w:t xml:space="preserve">             </w:t>
      </w:r>
      <w:r w:rsidR="00445256">
        <w:rPr>
          <w:lang w:val="ru-RU"/>
        </w:rPr>
        <w:t xml:space="preserve"> от«      »            2020г № </w:t>
      </w:r>
    </w:p>
    <w:p w:rsidR="00533C9A" w:rsidRDefault="00533C9A" w:rsidP="00533C9A">
      <w:pPr>
        <w:ind w:firstLine="540"/>
        <w:jc w:val="both"/>
        <w:rPr>
          <w:lang w:val="ru-RU"/>
        </w:rPr>
      </w:pPr>
    </w:p>
    <w:p w:rsidR="00533C9A" w:rsidRDefault="00533C9A" w:rsidP="00533C9A">
      <w:pPr>
        <w:ind w:firstLine="54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Размеры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должностных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окладов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служащих</w:t>
      </w:r>
      <w:proofErr w:type="spellEnd"/>
    </w:p>
    <w:p w:rsidR="00533C9A" w:rsidRDefault="00533C9A" w:rsidP="00533C9A">
      <w:pPr>
        <w:ind w:firstLine="540"/>
        <w:jc w:val="center"/>
        <w:rPr>
          <w:b/>
          <w:sz w:val="28"/>
          <w:szCs w:val="28"/>
        </w:rPr>
      </w:pPr>
    </w:p>
    <w:tbl>
      <w:tblPr>
        <w:tblW w:w="977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305"/>
        <w:gridCol w:w="2640"/>
        <w:gridCol w:w="1920"/>
        <w:gridCol w:w="3906"/>
      </w:tblGrid>
      <w:tr w:rsidR="00533C9A" w:rsidTr="00A47FFB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Группа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должностей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Размер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должностного</w:t>
            </w:r>
            <w:proofErr w:type="spellEnd"/>
          </w:p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оклада</w:t>
            </w:r>
            <w:proofErr w:type="spellEnd"/>
          </w:p>
        </w:tc>
      </w:tr>
      <w:tr w:rsidR="00533C9A" w:rsidTr="00A47FFB">
        <w:trPr>
          <w:trHeight w:val="498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Младшая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Специалист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01.04.2013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9A" w:rsidRPr="009108E1" w:rsidRDefault="00533C9A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4 949</w:t>
            </w:r>
          </w:p>
        </w:tc>
      </w:tr>
      <w:tr w:rsidR="00533C9A" w:rsidTr="00A47FFB">
        <w:trPr>
          <w:trHeight w:val="45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/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01.10.2013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9A" w:rsidRPr="009108E1" w:rsidRDefault="00533C9A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5 444</w:t>
            </w:r>
          </w:p>
        </w:tc>
      </w:tr>
      <w:tr w:rsidR="00533C9A" w:rsidTr="00A47FFB">
        <w:trPr>
          <w:trHeight w:val="56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/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01.04.2014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9A" w:rsidRPr="009108E1" w:rsidRDefault="00533C9A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5 988</w:t>
            </w:r>
          </w:p>
        </w:tc>
      </w:tr>
      <w:tr w:rsidR="00533C9A" w:rsidTr="00A47FFB">
        <w:trPr>
          <w:trHeight w:val="49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9A" w:rsidRDefault="00533C9A" w:rsidP="00FD1A4B"/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33C9A" w:rsidRDefault="00533C9A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C9A" w:rsidRDefault="00533C9A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01.10.2014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9A" w:rsidRPr="009108E1" w:rsidRDefault="00533C9A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6 587</w:t>
            </w:r>
          </w:p>
        </w:tc>
      </w:tr>
      <w:tr w:rsidR="00A47FFB" w:rsidTr="00CB45FF">
        <w:trPr>
          <w:trHeight w:val="49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FB" w:rsidRDefault="00A47FFB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A47FFB" w:rsidRDefault="00A47FFB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7FFB" w:rsidRPr="00A47FFB" w:rsidRDefault="00A47FFB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FFB" w:rsidRDefault="00A47FFB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5774</w:t>
            </w:r>
          </w:p>
        </w:tc>
      </w:tr>
      <w:tr w:rsidR="00CB45FF" w:rsidTr="004A5C26">
        <w:trPr>
          <w:trHeight w:val="49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FF" w:rsidRDefault="00CB45FF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CB45FF" w:rsidRDefault="00CB45FF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5FF" w:rsidRPr="00A47FFB" w:rsidRDefault="00CB45FF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</w:t>
            </w:r>
            <w:r w:rsidR="004A5C26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FF" w:rsidRDefault="004A5C26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5115</w:t>
            </w:r>
          </w:p>
        </w:tc>
      </w:tr>
      <w:tr w:rsidR="004A5C26" w:rsidRPr="0067686D" w:rsidTr="004A5C26">
        <w:trPr>
          <w:trHeight w:val="49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Pr="00A47FFB" w:rsidRDefault="004A5C26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 w:rsidR="0067686D" w:rsidRPr="0067686D">
              <w:rPr>
                <w:sz w:val="26"/>
                <w:szCs w:val="26"/>
                <w:lang w:val="ru-RU"/>
              </w:rPr>
              <w:t>01.</w:t>
            </w:r>
            <w:r w:rsidR="0067686D">
              <w:rPr>
                <w:sz w:val="26"/>
                <w:szCs w:val="26"/>
                <w:lang w:val="ru-RU"/>
              </w:rPr>
              <w:t>07</w:t>
            </w:r>
            <w:r w:rsidRPr="0067686D">
              <w:rPr>
                <w:sz w:val="26"/>
                <w:szCs w:val="26"/>
                <w:lang w:val="ru-RU"/>
              </w:rPr>
              <w:t>.201</w:t>
            </w: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Default="004A5C26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7243</w:t>
            </w:r>
          </w:p>
        </w:tc>
      </w:tr>
      <w:tr w:rsidR="004A5C26" w:rsidRPr="0067686D" w:rsidTr="004A5C26">
        <w:trPr>
          <w:trHeight w:val="49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left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Default="004A5C26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01.01.2020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Default="004A5C26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7554</w:t>
            </w:r>
          </w:p>
        </w:tc>
      </w:tr>
      <w:tr w:rsidR="004A5C26" w:rsidRPr="0067686D" w:rsidTr="00A47FFB">
        <w:trPr>
          <w:trHeight w:val="49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Default="004A5C26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01.10.2020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Default="004A5C26" w:rsidP="0066594F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7781</w:t>
            </w:r>
          </w:p>
        </w:tc>
      </w:tr>
      <w:tr w:rsidR="004A5C26" w:rsidRPr="0067686D" w:rsidTr="00A47FFB">
        <w:trPr>
          <w:trHeight w:val="56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67686D">
              <w:rPr>
                <w:sz w:val="26"/>
                <w:szCs w:val="26"/>
                <w:lang w:val="ru-RU"/>
              </w:rPr>
              <w:t>Специалист 2 категории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Pr="0067686D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 w:rsidRPr="0067686D">
              <w:rPr>
                <w:sz w:val="26"/>
                <w:szCs w:val="26"/>
                <w:lang w:val="ru-RU"/>
              </w:rPr>
              <w:t>01.04.2013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Pr="00C92DD1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4 124</w:t>
            </w:r>
          </w:p>
        </w:tc>
      </w:tr>
      <w:tr w:rsidR="004A5C26" w:rsidRPr="0067686D" w:rsidTr="00A47FFB">
        <w:trPr>
          <w:trHeight w:val="54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Pr="0067686D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 w:rsidRPr="0067686D">
              <w:rPr>
                <w:sz w:val="26"/>
                <w:szCs w:val="26"/>
                <w:lang w:val="ru-RU"/>
              </w:rPr>
              <w:t>01.10.2013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Pr="00C92DD1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4 536</w:t>
            </w:r>
          </w:p>
        </w:tc>
      </w:tr>
      <w:tr w:rsidR="004A5C26" w:rsidTr="00A47FFB">
        <w:trPr>
          <w:trHeight w:val="55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Pr="0067686D" w:rsidRDefault="004A5C26" w:rsidP="00FD1A4B">
            <w:pPr>
              <w:rPr>
                <w:lang w:val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 w:rsidRPr="0067686D">
              <w:rPr>
                <w:sz w:val="26"/>
                <w:szCs w:val="26"/>
                <w:lang w:val="ru-RU"/>
              </w:rPr>
              <w:t>01.04.2</w:t>
            </w:r>
            <w:r>
              <w:rPr>
                <w:sz w:val="26"/>
                <w:szCs w:val="26"/>
              </w:rPr>
              <w:t>014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Pr="00C92DD1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4 990</w:t>
            </w:r>
          </w:p>
        </w:tc>
      </w:tr>
      <w:tr w:rsidR="004A5C26" w:rsidTr="004A5C26">
        <w:trPr>
          <w:trHeight w:val="55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01.10.2014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Pr="00C92DD1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5 489</w:t>
            </w:r>
          </w:p>
        </w:tc>
      </w:tr>
      <w:tr w:rsidR="004A5C26" w:rsidTr="0067686D">
        <w:trPr>
          <w:trHeight w:val="551"/>
        </w:trPr>
        <w:tc>
          <w:tcPr>
            <w:tcW w:w="1305" w:type="dxa"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Default="0067686D" w:rsidP="0067686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01.01.2015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Default="0067686D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4949</w:t>
            </w:r>
          </w:p>
        </w:tc>
      </w:tr>
      <w:tr w:rsidR="0067686D" w:rsidTr="0067686D">
        <w:trPr>
          <w:trHeight w:val="551"/>
        </w:trPr>
        <w:tc>
          <w:tcPr>
            <w:tcW w:w="1305" w:type="dxa"/>
            <w:tcBorders>
              <w:left w:val="single" w:sz="4" w:space="0" w:color="000000"/>
            </w:tcBorders>
          </w:tcPr>
          <w:p w:rsidR="0067686D" w:rsidRDefault="0067686D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67686D" w:rsidRDefault="0067686D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86D" w:rsidRDefault="0067686D" w:rsidP="0067686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01.01.2017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6D" w:rsidRDefault="0067686D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4384</w:t>
            </w:r>
          </w:p>
        </w:tc>
      </w:tr>
      <w:tr w:rsidR="0067686D" w:rsidTr="0067686D">
        <w:trPr>
          <w:trHeight w:val="551"/>
        </w:trPr>
        <w:tc>
          <w:tcPr>
            <w:tcW w:w="1305" w:type="dxa"/>
            <w:tcBorders>
              <w:left w:val="single" w:sz="4" w:space="0" w:color="000000"/>
            </w:tcBorders>
          </w:tcPr>
          <w:p w:rsidR="0067686D" w:rsidRDefault="0067686D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67686D" w:rsidRDefault="0067686D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86D" w:rsidRDefault="0067686D" w:rsidP="0067686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01.07.2018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6D" w:rsidRDefault="0067686D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4124</w:t>
            </w:r>
          </w:p>
        </w:tc>
      </w:tr>
      <w:tr w:rsidR="0067686D" w:rsidTr="0067686D">
        <w:trPr>
          <w:trHeight w:val="551"/>
        </w:trPr>
        <w:tc>
          <w:tcPr>
            <w:tcW w:w="1305" w:type="dxa"/>
            <w:tcBorders>
              <w:left w:val="single" w:sz="4" w:space="0" w:color="000000"/>
            </w:tcBorders>
          </w:tcPr>
          <w:p w:rsidR="0067686D" w:rsidRDefault="0067686D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67686D" w:rsidRDefault="0067686D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86D" w:rsidRDefault="0067686D" w:rsidP="0067686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01.01.2020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6D" w:rsidRDefault="0067686D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7533</w:t>
            </w:r>
          </w:p>
        </w:tc>
      </w:tr>
      <w:tr w:rsidR="0067686D" w:rsidTr="004A5C26">
        <w:trPr>
          <w:trHeight w:val="551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67686D" w:rsidRDefault="0067686D" w:rsidP="00FD1A4B"/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67686D" w:rsidRDefault="0067686D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86D" w:rsidRDefault="0067686D" w:rsidP="0067686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01.10.2020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6D" w:rsidRDefault="0067686D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7759</w:t>
            </w:r>
          </w:p>
        </w:tc>
      </w:tr>
      <w:tr w:rsidR="004A5C26" w:rsidTr="00A47FFB">
        <w:trPr>
          <w:trHeight w:val="559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Default="004A5C26" w:rsidP="00FD1A4B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Специалист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категории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01.04.2013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Pr="00C92DD1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1 650</w:t>
            </w:r>
          </w:p>
        </w:tc>
      </w:tr>
      <w:tr w:rsidR="004A5C26" w:rsidTr="00A47FFB">
        <w:trPr>
          <w:trHeight w:val="56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01.10.2013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Pr="00C92DD1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1 815</w:t>
            </w:r>
          </w:p>
        </w:tc>
      </w:tr>
      <w:tr w:rsidR="004A5C26" w:rsidTr="00A47FFB">
        <w:trPr>
          <w:trHeight w:val="54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01.04.2014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6" w:rsidRPr="00C92DD1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1 997</w:t>
            </w:r>
          </w:p>
        </w:tc>
      </w:tr>
      <w:tr w:rsidR="004A5C26" w:rsidTr="00A47FFB">
        <w:trPr>
          <w:trHeight w:val="55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left w:val="single" w:sz="4" w:space="0" w:color="000000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с </w:t>
            </w:r>
            <w:r>
              <w:rPr>
                <w:sz w:val="26"/>
                <w:szCs w:val="26"/>
              </w:rPr>
              <w:t>01.10.2014</w:t>
            </w:r>
          </w:p>
        </w:tc>
        <w:tc>
          <w:tcPr>
            <w:tcW w:w="39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5C26" w:rsidRPr="00C92DD1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2 196</w:t>
            </w:r>
          </w:p>
        </w:tc>
      </w:tr>
      <w:tr w:rsidR="004A5C26" w:rsidTr="00A47FFB">
        <w:trPr>
          <w:trHeight w:val="99"/>
        </w:trPr>
        <w:tc>
          <w:tcPr>
            <w:tcW w:w="1305" w:type="dxa"/>
            <w:vMerge w:val="restart"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vMerge w:val="restart"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A5C26" w:rsidTr="00A47FFB">
        <w:trPr>
          <w:trHeight w:val="444"/>
        </w:trPr>
        <w:tc>
          <w:tcPr>
            <w:tcW w:w="1305" w:type="dxa"/>
            <w:vMerge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vMerge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5C26" w:rsidRDefault="004A5C2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01.01.2015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C26" w:rsidRDefault="0067686D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3575</w:t>
            </w:r>
          </w:p>
        </w:tc>
      </w:tr>
      <w:tr w:rsidR="004A5C26" w:rsidTr="00445256">
        <w:trPr>
          <w:trHeight w:val="444"/>
        </w:trPr>
        <w:tc>
          <w:tcPr>
            <w:tcW w:w="1305" w:type="dxa"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4A5C26" w:rsidRDefault="004A5C26" w:rsidP="00FD1A4B"/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A5C26" w:rsidRDefault="0067686D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01.01.2017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C26" w:rsidRDefault="0044525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3167</w:t>
            </w:r>
          </w:p>
        </w:tc>
      </w:tr>
      <w:tr w:rsidR="00445256" w:rsidTr="00445256">
        <w:trPr>
          <w:trHeight w:val="444"/>
        </w:trPr>
        <w:tc>
          <w:tcPr>
            <w:tcW w:w="1305" w:type="dxa"/>
            <w:tcBorders>
              <w:left w:val="single" w:sz="4" w:space="0" w:color="000000"/>
            </w:tcBorders>
          </w:tcPr>
          <w:p w:rsidR="00445256" w:rsidRDefault="00445256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445256" w:rsidRDefault="00445256" w:rsidP="00FD1A4B"/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256" w:rsidRDefault="0044525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01.07.2018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256" w:rsidRDefault="0044525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3595,5</w:t>
            </w:r>
          </w:p>
        </w:tc>
      </w:tr>
      <w:tr w:rsidR="00445256" w:rsidTr="00445256">
        <w:trPr>
          <w:trHeight w:val="444"/>
        </w:trPr>
        <w:tc>
          <w:tcPr>
            <w:tcW w:w="1305" w:type="dxa"/>
            <w:tcBorders>
              <w:left w:val="single" w:sz="4" w:space="0" w:color="000000"/>
            </w:tcBorders>
          </w:tcPr>
          <w:p w:rsidR="00445256" w:rsidRDefault="00445256" w:rsidP="00FD1A4B"/>
        </w:tc>
        <w:tc>
          <w:tcPr>
            <w:tcW w:w="2640" w:type="dxa"/>
            <w:tcBorders>
              <w:left w:val="single" w:sz="4" w:space="0" w:color="000000"/>
            </w:tcBorders>
          </w:tcPr>
          <w:p w:rsidR="00445256" w:rsidRDefault="00445256" w:rsidP="00FD1A4B"/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256" w:rsidRDefault="0044525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01.01.2020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256" w:rsidRDefault="0044525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7502</w:t>
            </w:r>
          </w:p>
        </w:tc>
      </w:tr>
      <w:tr w:rsidR="00445256" w:rsidTr="00A47FFB">
        <w:trPr>
          <w:trHeight w:val="444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445256" w:rsidRDefault="00445256" w:rsidP="00FD1A4B"/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445256" w:rsidRDefault="00445256" w:rsidP="00FD1A4B"/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256" w:rsidRDefault="0044525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 01.10.2020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256" w:rsidRDefault="00445256" w:rsidP="00FD1A4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7727</w:t>
            </w:r>
          </w:p>
        </w:tc>
      </w:tr>
    </w:tbl>
    <w:p w:rsidR="002760F5" w:rsidRDefault="000B7669"/>
    <w:sectPr w:rsidR="002760F5" w:rsidSect="00B21DA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54"/>
    <w:rsid w:val="000B7669"/>
    <w:rsid w:val="0020386F"/>
    <w:rsid w:val="00306B70"/>
    <w:rsid w:val="00445256"/>
    <w:rsid w:val="00477154"/>
    <w:rsid w:val="004A5C26"/>
    <w:rsid w:val="00533C9A"/>
    <w:rsid w:val="00570CA1"/>
    <w:rsid w:val="005A22D2"/>
    <w:rsid w:val="0067686D"/>
    <w:rsid w:val="007904E5"/>
    <w:rsid w:val="007B5824"/>
    <w:rsid w:val="007D33BD"/>
    <w:rsid w:val="009F1930"/>
    <w:rsid w:val="00A47FFB"/>
    <w:rsid w:val="00A70B4C"/>
    <w:rsid w:val="00B21DA3"/>
    <w:rsid w:val="00C02188"/>
    <w:rsid w:val="00CB45FF"/>
    <w:rsid w:val="00E70A86"/>
    <w:rsid w:val="00E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C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533C9A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533C9A"/>
    <w:pPr>
      <w:suppressAutoHyphens/>
      <w:autoSpaceDE w:val="0"/>
      <w:spacing w:after="0" w:line="240" w:lineRule="auto"/>
      <w:textAlignment w:val="baseline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533C9A"/>
    <w:pPr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Normal">
    <w:name w:val="ConsNormal"/>
    <w:rsid w:val="00533C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5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C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533C9A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533C9A"/>
    <w:pPr>
      <w:suppressAutoHyphens/>
      <w:autoSpaceDE w:val="0"/>
      <w:spacing w:after="0" w:line="240" w:lineRule="auto"/>
      <w:textAlignment w:val="baseline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533C9A"/>
    <w:pPr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Normal">
    <w:name w:val="ConsNormal"/>
    <w:rsid w:val="00533C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56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D3FD-8874-4E18-B3CE-777E6F21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Большая Сея</dc:creator>
  <cp:lastModifiedBy>Большая Сея</cp:lastModifiedBy>
  <cp:revision>4</cp:revision>
  <cp:lastPrinted>2020-10-06T03:17:00Z</cp:lastPrinted>
  <dcterms:created xsi:type="dcterms:W3CDTF">2020-10-06T01:49:00Z</dcterms:created>
  <dcterms:modified xsi:type="dcterms:W3CDTF">2020-11-17T06:49:00Z</dcterms:modified>
</cp:coreProperties>
</file>